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/>
        <w:ind w:left="1163" w:right="1184" w:firstLine="0"/>
        <w:jc w:val="center"/>
        <w:rPr>
          <w:b/>
          <w:sz w:val="32"/>
        </w:rPr>
      </w:pPr>
      <w:r>
        <w:rPr>
          <w:b/>
          <w:sz w:val="32"/>
        </w:rPr>
        <w:t>Giving Back vs. Gaining Back: An AACR View</w:t>
      </w:r>
    </w:p>
    <w:p>
      <w:pPr>
        <w:pStyle w:val="BodyText"/>
        <w:spacing w:before="7"/>
        <w:rPr>
          <w:b/>
          <w:sz w:val="31"/>
        </w:rPr>
      </w:pPr>
    </w:p>
    <w:p>
      <w:pPr>
        <w:pStyle w:val="BodyText"/>
        <w:spacing w:line="480" w:lineRule="auto"/>
        <w:ind w:left="100" w:right="112"/>
        <w:jc w:val="both"/>
      </w:pPr>
      <w:r>
        <w:rPr/>
        <w:t>Those of us who are deeply interested </w:t>
      </w:r>
      <w:r>
        <w:rPr>
          <w:spacing w:val="-3"/>
        </w:rPr>
        <w:t>in </w:t>
      </w:r>
      <w:r>
        <w:rPr/>
        <w:t>civic responsibility and social responsibility issues have been witnessing an interesting trend recently </w:t>
      </w:r>
      <w:r>
        <w:rPr>
          <w:spacing w:val="-3"/>
        </w:rPr>
        <w:t>in </w:t>
      </w:r>
      <w:r>
        <w:rPr/>
        <w:t>the civic and social responsibility engagement of many institutions, particularly of certain major  corporations. It </w:t>
      </w:r>
      <w:r>
        <w:rPr>
          <w:spacing w:val="-3"/>
        </w:rPr>
        <w:t>is </w:t>
      </w:r>
      <w:r>
        <w:rPr/>
        <w:t>the fundamental difference between “giving back” to society and “gaining back” from society - two distinct attitudes underlying a company’s philanthropy, volunteerism and contributions </w:t>
      </w:r>
      <w:r>
        <w:rPr>
          <w:spacing w:val="4"/>
        </w:rPr>
        <w:t>of </w:t>
      </w:r>
      <w:r>
        <w:rPr/>
        <w:t>in-kind goods or services. There </w:t>
      </w:r>
      <w:r>
        <w:rPr>
          <w:spacing w:val="-3"/>
        </w:rPr>
        <w:t>is </w:t>
      </w:r>
      <w:r>
        <w:rPr/>
        <w:t>a difference between “serving a noble cause” on the one hand and contributing </w:t>
      </w:r>
      <w:r>
        <w:rPr>
          <w:spacing w:val="2"/>
        </w:rPr>
        <w:t>to </w:t>
      </w:r>
      <w:r>
        <w:rPr/>
        <w:t>society with the expectation of generating a reasonable “return” on that investment, on the other. </w:t>
      </w:r>
      <w:r>
        <w:rPr>
          <w:spacing w:val="-3"/>
        </w:rPr>
        <w:t>At </w:t>
      </w:r>
      <w:r>
        <w:rPr/>
        <w:t>present, many corporations maintain the second attitude </w:t>
      </w:r>
      <w:r>
        <w:rPr>
          <w:spacing w:val="4"/>
        </w:rPr>
        <w:t>of </w:t>
      </w:r>
      <w:r>
        <w:rPr/>
        <w:t>gaining back as the fundamental driver for their social investment programs. Although improved financial performance, stock market performance, working conditions, better brand reputation and higher quality </w:t>
      </w:r>
      <w:r>
        <w:rPr>
          <w:spacing w:val="4"/>
        </w:rPr>
        <w:t>of </w:t>
      </w:r>
      <w:r>
        <w:rPr/>
        <w:t>management recruitment are some </w:t>
      </w:r>
      <w:r>
        <w:rPr>
          <w:spacing w:val="4"/>
        </w:rPr>
        <w:t>of </w:t>
      </w:r>
      <w:r>
        <w:rPr/>
        <w:t>the benefits resulting from such a commitment, AACR believes that institutions should not </w:t>
      </w:r>
      <w:r>
        <w:rPr>
          <w:spacing w:val="-3"/>
        </w:rPr>
        <w:t>view </w:t>
      </w:r>
      <w:r>
        <w:rPr/>
        <w:t>social investment programs solely as a means </w:t>
      </w:r>
      <w:r>
        <w:rPr>
          <w:spacing w:val="4"/>
        </w:rPr>
        <w:t>of </w:t>
      </w:r>
      <w:r>
        <w:rPr/>
        <w:t>gaining back. The benefits should not </w:t>
      </w:r>
      <w:r>
        <w:rPr>
          <w:spacing w:val="-3"/>
        </w:rPr>
        <w:t>be </w:t>
      </w:r>
      <w:r>
        <w:rPr/>
        <w:t>discounted, but rather, </w:t>
      </w:r>
      <w:r>
        <w:rPr>
          <w:spacing w:val="-3"/>
        </w:rPr>
        <w:t>viewed </w:t>
      </w:r>
      <w:r>
        <w:rPr/>
        <w:t>as a positive by-product. The real impetus for </w:t>
      </w:r>
      <w:r>
        <w:rPr>
          <w:spacing w:val="-3"/>
        </w:rPr>
        <w:t>civic </w:t>
      </w:r>
      <w:r>
        <w:rPr/>
        <w:t>responsibility should remain the idea </w:t>
      </w:r>
      <w:r>
        <w:rPr>
          <w:spacing w:val="4"/>
        </w:rPr>
        <w:t>of </w:t>
      </w:r>
      <w:r>
        <w:rPr/>
        <w:t>advancing the commonweal (public good). AACR strongly believes that all institutions, including business entities, should embrace civic responsibility with the intention </w:t>
      </w:r>
      <w:r>
        <w:rPr>
          <w:spacing w:val="4"/>
        </w:rPr>
        <w:t>of </w:t>
      </w:r>
      <w:r>
        <w:rPr/>
        <w:t>nothing more than giving back to society, which has enabled each institution’s existence and forged its</w:t>
      </w:r>
      <w:r>
        <w:rPr>
          <w:spacing w:val="7"/>
        </w:rPr>
        <w:t> </w:t>
      </w:r>
      <w:r>
        <w:rPr/>
        <w:t>success.</w:t>
      </w:r>
    </w:p>
    <w:sectPr>
      <w:type w:val="continuous"/>
      <w:pgSz w:w="12240" w:h="15840"/>
      <w:pgMar w:top="1360" w:bottom="280" w:left="17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dc:title>Microsoft Word - 43CBAF25-23F8-28590E.doc</dc:title>
  <dcterms:created xsi:type="dcterms:W3CDTF">2020-01-30T13:16:28Z</dcterms:created>
  <dcterms:modified xsi:type="dcterms:W3CDTF">2020-01-30T13:16:28Z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2006-01-16T00:00:00Z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2020-01-30T00:00:00Z</vt:filetime>
  </property>
</Properties>
</file>